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CERTIFICACIÓN AI FOR CONSTRUCTION · SEMANA 1 · ENTREGABLE 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CEREBRO DE LA EMPRESA · CONSTRUCTORA RD-05</w:t>
      </w:r>
    </w:p>
    <w:p>
      <w:pPr>
        <w:spacing w:after="16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Lo que sabe la empresa y cómo decide, en un solo documento, para que la IA responda como respondería la dirección. Parte A: lo que sabe la empresa. Parte B: cómo decide (restringida).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Bloque de control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cantSplit/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Campo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Detalle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Código RD-05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RD05-DG-CER-002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Versión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1.0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Fecha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12/11/2025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Elaboró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 con Coordinación del SGC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Revisó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Legal y Cumplimiento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Aprobó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Estado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Aprobado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Clasificación</w:t>
            </w:r>
          </w:p>
        </w:tc>
        <w:tc>
          <w:tcPr>
            <w:tcW w:type="dxa" w:w="6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Restringida (Parte B). La Parte A se usa sola en los Projects técnicos y de ejecución</w:t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Arial" w:cs="Arial" w:eastAsia="Arial" w:hAnsi="Arial"/>
          <w:i/>
          <w:iCs/>
          <w:color w:val="7F7F7F"/>
          <w:sz w:val="24"/>
          <w:szCs w:val="24"/>
        </w:rPr>
        <w:t xml:space="preserve">Caso de ejemplo ficticio. Todos los nombres, cifras y obras son inventados para la certificación.</w:t>
      </w:r>
    </w:p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PARTE A · LO QUE SABE LA EMPRESA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1. Quiénes somos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Constructora RD-05, S.R.L. es una constructora general de edificaciones fundada en 2009 en Santo Domingo. Construimos edificios residenciales, corporativos y comerciales, y tenemos una división de interiores para adecuación de oficinas y locales. Trabajamos para promotores, empresas y propietarios privados, por contratación directa y por licitación privada.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cantSplit/>
          <w:tblHeader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Dato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Valor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Personal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~180 personas: 45 en oficina central y 135 en obra, más subcontratistas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activas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8 en ejecución y 1 en oferta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entregadas desde 2009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46 obras, ~310,000 m² construidos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Facturación anual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~RD$1,800 millones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Cartera contratada en ejecución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~RD$2,640 millones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Sistema de gestión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Sistema de gestión de calidad documentado; en proceso de certificación</w:t>
            </w:r>
          </w:p>
        </w:tc>
      </w:tr>
    </w:tbl>
    <w:p>
      <w:pPr>
        <w:spacing w:after="120" w:before="12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Hitos: 2009 fundación con obras de interiores · 2013 primer edificio residencial de 5 niveles · 2017 primera torre de más de 12 niveles · 2021 creación de la división corporativa y comercial · 2024 adopción de BIM en todas las obras nuevas.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2. Líneas de negocio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760"/>
        <w:gridCol w:w="2000"/>
      </w:tblGrid>
      <w:tr>
        <w:trPr>
          <w:cantSplit/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Línea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Qué construimos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Peso en facturación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Residencial vertical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Torres y edificios de apartamentos de hasta 20 niveles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55 %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Corporativo y comercial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Edificios de oficinas, plazas comerciales, centros médicos, naves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35 %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Interiores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Adecuación de oficinas, locales y áreas comunes, con trabajo nocturno si el edificio lo exige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10 %</w:t>
            </w:r>
          </w:p>
        </w:tc>
      </w:tr>
    </w:tbl>
    <w:p>
      <w:pPr>
        <w:spacing w:after="120" w:before="12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No hacemos: obra pública por licitación abierta, infraestructura vial, obras marítimas ni intervenciones estructurales en edificios de terceros.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Productos, rangos de m², plazos y precios de referencia: ver el Catálogo de productos RD05-COM-CAT-005.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3. Servicios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Construcción a suma alzada, a precios unitarios o por administración.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Diseño y construcción, con diseñadores asociados.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Gerencia de proyectos para promotores.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Adecuación de interiores llave en mano.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Postventa y mantenimiento durante el período de garantía.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Alcance de cada servicio: ver el Dossier de servicios RD05-COM-DOS-004.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4. Trayectoria y cartera actual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760"/>
        <w:gridCol w:w="1300"/>
        <w:gridCol w:w="1600"/>
        <w:gridCol w:w="1200"/>
      </w:tblGrid>
      <w:tr>
        <w:trPr>
          <w:cantSplit/>
          <w:tblHeader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Código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Obra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Línea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Monto (RD$ millones)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Avance</w:t>
            </w: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OB-2023-004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Torre Mirador del Este · 16 niveles, 96 aptos, 12,800 m²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Residencial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612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78 %</w:t>
            </w: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OB-2024-002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Residencial Las Palmas, etapa II · 4 edificios de 5 niveles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Residencial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498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55 %</w:t>
            </w: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OB-2024-007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Torre Corporativa Lincoln 9 · 12 niveles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Corporativo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540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41 %</w:t>
            </w: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OB-2024-010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Plaza Comercial Arroyo · 2 niveles y parqueo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Comercial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286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63 %</w:t>
            </w: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OB-2025-003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Centro Médico Los Prados, ampliación · 3 niveles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Corporativo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418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22 %</w:t>
            </w: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OB-2025-006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Nave industrial y edificio administrativo Haina · 5,600 m²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Comercial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184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35 %</w:t>
            </w: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OB-2025-008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Lobby y áreas comunes Torre Lincoln 4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Interiores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38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80 %</w:t>
            </w: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OB-2025-009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Oficinas aseguradora, piso 7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Interiores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64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15 %</w:t>
            </w: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Total en ejecución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2,640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</w:p>
        </w:tc>
      </w:tr>
      <w:tr>
        <w:trPr>
          <w:cantSplit/>
          <w:tblHeader w:val="off"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OB-2025-011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Oficinas Sky · 368 m²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Interiores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En oferta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—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5. Organización y principales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Dirección General: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Ing. Laura Medina Rosario, socia fundadora. Staff: Coordinación del Sistema de Gestión de Calidad.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Dirección Comercial: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Arq. Natalia Batista Luna. Ofertas y servicio al cliente.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Dirección de Ingeniería: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Ing. Andrés Valdez Ortiz. Gerencia de Ingeniería (BIM, Costos y Presupuestos, Compras) y Gerencia de Proyectos (Ing. Julio Santana Mejía), con directores de obra, residentes, coordinadores, seguridad y almacén.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Dirección Administrativa y Financiera: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Lic. Miguel Ferreira Soto. Contabilidad, tesorería, recursos humanos, servicios generales.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Dirección Legal y Cumplimiento: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asistente legal y oficial de cumplimiento; asesoría externa para grandes contratos.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Trayectoria de cada principal: ver CV de principales RD05-DG-CV-003.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6. Nuestro cliente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480"/>
        <w:gridCol w:w="3480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Línea</w:t>
            </w:r>
          </w:p>
        </w:tc>
        <w:tc>
          <w:tcPr>
            <w:tcW w:type="dxa" w:w="3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Cliente ideal</w:t>
            </w:r>
          </w:p>
        </w:tc>
        <w:tc>
          <w:tcPr>
            <w:tcW w:type="dxa" w:w="3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Cliente que no buscamos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Residencial vertical</w:t>
            </w:r>
          </w:p>
        </w:tc>
        <w:tc>
          <w:tcPr>
            <w:tcW w:type="dxa" w:w="3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Promotor con fideicomiso o financiamiento aprobado y ventas sobre 30 %</w:t>
            </w:r>
          </w:p>
        </w:tc>
        <w:tc>
          <w:tcPr>
            <w:tcW w:type="dxa" w:w="3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Promotor que depende de las ventas para pagar el avance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Corporativo y comercial</w:t>
            </w:r>
          </w:p>
        </w:tc>
        <w:tc>
          <w:tcPr>
            <w:tcW w:type="dxa" w:w="3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Empresa con fondos propios y diseño terminado</w:t>
            </w:r>
          </w:p>
        </w:tc>
        <w:tc>
          <w:tcPr>
            <w:tcW w:type="dxa" w:w="3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Diseño en anteproyecto con plazo cerrado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Interiores</w:t>
            </w:r>
          </w:p>
        </w:tc>
        <w:tc>
          <w:tcPr>
            <w:tcW w:type="dxa" w:w="3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Empresa con local asegurado, diseño terminado y decisión ágil</w:t>
            </w:r>
          </w:p>
        </w:tc>
        <w:tc>
          <w:tcPr>
            <w:tcW w:type="dxa" w:w="3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Pide precio sin alcance escrito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7. Cómo contratamos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cantSplit/>
          <w:tblHeader/>
        </w:trP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Modalidad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Cuándo la usamos</w:t>
            </w:r>
          </w:p>
        </w:tc>
      </w:tr>
      <w:tr>
        <w:trPr>
          <w:cantSplit/>
          <w:tblHeader w:val="off"/>
        </w:trP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Suma alzada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Diseño terminado y alcance claro</w:t>
            </w:r>
          </w:p>
        </w:tc>
      </w:tr>
      <w:tr>
        <w:trPr>
          <w:cantSplit/>
          <w:tblHeader w:val="off"/>
        </w:trP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Precios unitarios con cubicaciones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Cantidades inciertas con unidades claras; habitual en residencial vertical</w:t>
            </w:r>
          </w:p>
        </w:tc>
      </w:tr>
      <w:tr>
        <w:trPr>
          <w:cantSplit/>
          <w:tblHeader w:val="off"/>
        </w:trP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Administración (costo más honorario)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Diseño incompleto o cliente que decide en obra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8. Cómo entregamos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Presupuesto con los capítulos de RD-05: 01 Preliminares · 02 Obra civil · 03 Carpintería de aluminio, vidrio y madera · 04 Ebanistería · 05 Sanitarias · 06 Climatización · 07 Contra incendios · 08 Eléctricas · 09 Data, CCTV y control de acceso · 10 Mobiliario y equipos · 11 Misceláneos · GI · IMP.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Toda oferta lleva supuestos y exclusiones escritos.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Cronograma con ruta crítica, actualizado cada semana. Reporte semanal al cliente cada viernes.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Órdenes de cambio firmadas, con precio y plazo, antes de ejecutar.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Cierre con planos conforme a obra, certificados de pruebas, manuales y garantías.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9. Inclusiones y exclusiones estándar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Incluimos siempre: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trazado y replanteo, protección de áreas comunes, bote de escombros según el reglamento del sitio, pruebas de instalaciones con certificado, limpieza final, seguros de responsabilidad civil, todo riesgo y riesgos laborales.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Excluimos siempre, salvo cotización expresa:</w:t>
      </w:r>
      <w:r>
        <w:rPr>
          <w:rFonts w:ascii="Arial" w:cs="Arial" w:eastAsia="Arial" w:hAnsi="Arial"/>
          <w:color w:val="111111"/>
          <w:sz w:val="24"/>
          <w:szCs w:val="24"/>
        </w:rPr>
        <w:t xml:space="preserve"> permisos del titular o del arrendador, aumento de capacidad eléctrica ante la distribuidora, equipos centrales del edificio, depósitos de garantía del edificio, trabajos de proveedores exclusivos del edificio, UPS, servidores y licencias, mobiliario suelto y decoración fuera de planos, estructura y fachada en obras de interiores.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10. Marca y comunicación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Tono: directo, técnico, con cifras y sin superlativos. Decimos "entregamos en 14 meses", no "entregamos a tiempo siempre".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Texto estándar de presentación: "Constructora RD-05 construye edificaciones residenciales, corporativas y comerciales en República Dominicana desde 2009. Hemos entregado 46 obras y más de 300,000 m², con un método que pone por escrito cada alcance, cada cambio y cada entrega."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Colores, tipografía, plantillas y usos del logo: ver Libro de marca RD05-COM-MAR-001.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11. Indicadores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60"/>
        <w:gridCol w:w="2000"/>
        <w:gridCol w:w="3000"/>
      </w:tblGrid>
      <w:tr>
        <w:trPr>
          <w:cantSplit/>
          <w:tblHeader/>
        </w:trP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Indicador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Meta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Hoy</w:t>
            </w:r>
          </w:p>
        </w:tc>
      </w:tr>
      <w:tr>
        <w:trPr>
          <w:cantSplit/>
          <w:tblHeader w:val="off"/>
        </w:trP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Margen neto por obra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8 %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7.1 % promedio</w:t>
            </w:r>
          </w:p>
        </w:tc>
      </w:tr>
      <w:tr>
        <w:trPr>
          <w:cantSplit/>
          <w:tblHeader w:val="off"/>
        </w:trP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Obras dentro del plazo contractual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90 %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75 %</w:t>
            </w:r>
          </w:p>
        </w:tc>
      </w:tr>
      <w:tr>
        <w:trPr>
          <w:cantSplit/>
          <w:tblHeader w:val="off"/>
        </w:trP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Días reales de cobro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35 días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52 días</w:t>
            </w:r>
          </w:p>
        </w:tc>
      </w:tr>
      <w:tr>
        <w:trPr>
          <w:cantSplit/>
          <w:tblHeader w:val="off"/>
        </w:trP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Órdenes de cambio firmadas antes de ejecutar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100 %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68 %</w:t>
            </w:r>
          </w:p>
        </w:tc>
      </w:tr>
      <w:tr>
        <w:trPr>
          <w:cantSplit/>
          <w:tblHeader w:val="off"/>
        </w:trPr>
        <w:tc>
          <w:tcPr>
            <w:tcW w:type="dxa" w:w="4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Incidentes de seguridad con tiempo perdido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0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 en el año</w:t>
            </w:r>
          </w:p>
        </w:tc>
      </w:tr>
    </w:tbl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PARTE B · CÓMO DECIDE LA EMPRESA (RESTRINGIDA)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12. Orden de prioridades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Cuando dos objetivos chocan: 1) seguridad de las personas · 2) caja: no financiar al cliente · 3) margen: no firmar por debajo del mínimo · 4) plazo comprometido · 5) relación con el cliente.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13. Márgenes por modalidad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3460"/>
        <w:gridCol w:w="2100"/>
      </w:tblGrid>
      <w:tr>
        <w:trPr>
          <w:cantSplit/>
          <w:tblHeader/>
        </w:trP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Modalidad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Margen neto de referencia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Mínimo</w:t>
            </w:r>
          </w:p>
        </w:tc>
      </w:tr>
      <w:tr>
        <w:trPr>
          <w:cantSplit/>
          <w:tblHeader w:val="off"/>
        </w:trP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Suma alzada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8 % a 12 %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7 %</w:t>
            </w:r>
          </w:p>
        </w:tc>
      </w:tr>
      <w:tr>
        <w:trPr>
          <w:cantSplit/>
          <w:tblHeader w:val="off"/>
        </w:trP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Precios unitarios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6 % a 9 %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5 %</w:t>
            </w:r>
          </w:p>
        </w:tc>
      </w:tr>
      <w:tr>
        <w:trPr>
          <w:cantSplit/>
          <w:tblHeader w:val="off"/>
        </w:trPr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Administración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Honorario de 10 % a 12 %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8 %</w:t>
            </w:r>
          </w:p>
        </w:tc>
      </w:tr>
    </w:tbl>
    <w:p>
      <w:pPr>
        <w:spacing w:after="120" w:before="12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La utilidad está dentro de la dirección técnica: bajar la dirección técnica es bajar el margen. Con diseño con contradicciones abiertas, la suma alzada se cotiza en la parte alta del rango o con supuestos escritos.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14. Condiciones de contrato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460"/>
        <w:gridCol w:w="2900"/>
      </w:tblGrid>
      <w:tr>
        <w:trPr>
          <w:cantSplit/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Condición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Aceptable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Límite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Anticipo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30 % o más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Nunca menos de 20 %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Aprobación de cubicaciones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5 días hábiles; sin respuesta, aprobada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Máximo 10 días hábiles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Pago después de aprobada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15 días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Máximo 30 días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Retención de garantía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5 % con fecha de devolución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Máximo 10 %, devuelta en 60 días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Penalidad por atraso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0.1 % diario, tope 5 %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Nunca tope mayor de 10 %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Responsabilidad total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Hasta el valor del contrato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Nunca ilimitada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Daños indirectos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Excluidos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Siempre excluidos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Prelación de documentos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Orden definido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Siempre definido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Responsabilidad civil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USD 500,000 por evento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El mayor entre contrato y reglamento del sitio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15. Seguir o no seguir con una oportunidad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180"/>
        <w:gridCol w:w="3180"/>
      </w:tblGrid>
      <w:tr>
        <w:trPr>
          <w:cantSplit/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Criterio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5 puntos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 punto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Solvencia y fuente de fondos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Fondos propios disponibles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Fondos inciertos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Comportamiento de pago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Paga en el plazo pactado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Más de 60 días o con disputas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Madurez del diseño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Terminado y coordinado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Anteproyecto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Plazo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Holgura mayor de 10 %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Imposible con nuestros rendimientos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Capacidad del equipo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Director, residente y cuadrillas libres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Sin equipo disponible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Condiciones del contrato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Todas dentro de la sección 14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Tres o más fuera de límite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Margen esperado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En el rango de referencia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Por debajo del mínimo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Relación con el cliente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Cliente recurrente</w:t>
            </w:r>
          </w:p>
        </w:tc>
        <w:tc>
          <w:tcPr>
            <w:tcW w:type="dxa" w:w="31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Primer contacto sin referencias</w:t>
            </w:r>
          </w:p>
        </w:tc>
      </w:tr>
    </w:tbl>
    <w:p>
      <w:pPr>
        <w:spacing w:after="120" w:before="12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28 puntos o más y ningún 1: se sigue · 22 a 27: se sigue con condiciones escritas · menos de 22: no se sigue. En residencial vertical, sin financiamiento o fideicomiso demostrado, la solvencia vale 1.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16. Límites de cartera y capacidad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Ninguna obra supera el 30 % de la cartera; ningún cliente, el 35 %.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Máximo dos torres de más de 12 niveles en estructura al mismo tiempo.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Un director de obra lleva como máximo dos obras; un residente, una.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Ninguna obra arranca sin director de obra y residente asignados por escrito.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17. Matriz de delegación de autoridad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700"/>
        <w:gridCol w:w="1800"/>
        <w:gridCol w:w="1960"/>
        <w:gridCol w:w="1900"/>
      </w:tblGrid>
      <w:tr>
        <w:trPr>
          <w:cantSplit/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Decisión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Director de obra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Gerente de Proyectos</w:t>
            </w:r>
          </w:p>
        </w:tc>
        <w:tc>
          <w:tcPr>
            <w:tcW w:type="dxa" w:w="1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Director de Ingeniería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Directora General</w:t>
            </w: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Orden de compra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Hasta RD$250,000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Hasta RD$1 millón</w:t>
            </w:r>
          </w:p>
        </w:tc>
        <w:tc>
          <w:tcPr>
            <w:tcW w:type="dxa" w:w="1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Hasta RD$5 millones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Más de RD$5 millones</w:t>
            </w: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Subcontrato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—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Hasta RD$2 millones</w:t>
            </w:r>
          </w:p>
        </w:tc>
        <w:tc>
          <w:tcPr>
            <w:tcW w:type="dxa" w:w="1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Hasta RD$10 millones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Más de RD$10 millones</w:t>
            </w: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Orden de cambio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Hasta 1 % del contrato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Hasta 3 %</w:t>
            </w:r>
          </w:p>
        </w:tc>
        <w:tc>
          <w:tcPr>
            <w:tcW w:type="dxa" w:w="1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Hasta 5 %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Más de 5 % o si cambia la terminación</w:t>
            </w: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Oferta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—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—</w:t>
            </w:r>
          </w:p>
        </w:tc>
        <w:tc>
          <w:tcPr>
            <w:tcW w:type="dxa" w:w="1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Hasta RD$50 millones dentro de estándares, con la Dir. Comercial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Más de RD$50 millones o con desviaciones</w:t>
            </w: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Contrato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—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—</w:t>
            </w:r>
          </w:p>
        </w:tc>
        <w:tc>
          <w:tcPr>
            <w:tcW w:type="dxa" w:w="1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—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Siempre, con revisión de Legal</w:t>
            </w:r>
          </w:p>
        </w:tc>
      </w:tr>
    </w:tbl>
    <w:p>
      <w:pPr>
        <w:spacing w:after="120" w:before="12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Pagos: la Dirección Administrativa y Financiera aprueba hasta RD$2 millones; por encima, firma conjunta con la Directora General.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18. Cuándo se escala a la Dirección General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Cualquier desviación de la sección 14, o un margen por debajo del mínimo.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Una obra que superaría los límites de la sección 16.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Un reclamo formal, una notificación de incumplimiento o un incidente de seguridad con tiempo perdido.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Cualquier situación en la que RD-05 financie al cliente más de 30 días.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19. Líneas rojas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No firmamos con responsabilidad ilimitada ni sin exclusión de daños indirectos.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No arrancamos sin anticipo cobrado ni sin equipo asignado.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No ejecutamos cambios sin orden firmada. Excepción: instrucción urgente por correo, con valoración posterior.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No trabajamos sin las pólizas exigidas vigentes.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20. Qué va al cliente y qué no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Va al cliente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No va al cliente</w:t>
            </w:r>
          </w:p>
        </w:tc>
      </w:tr>
      <w:tr>
        <w:trPr>
          <w:cantSplit/>
          <w:tblHeader w:val="off"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Precio por partida, alcance, supuestos, exclusiones, condiciones de pago, cronograma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Margen, costo directo, cotizaciones de subcontratistas, biblioteca de costos, estándares, riesgos internos, estrategia de negociación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21. Decisión documentada · OB-2025-011 · Oficinas Sky</w:t>
      </w:r>
    </w:p>
    <w:p>
      <w:pPr>
        <w:spacing w:after="120" w:before="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Fecha: 12/11/2025. Fuentes: ficha del cliente (27/10/2025), borrador de contrato (07/11/2025), correos del 21/10 al 11/11/2025.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150"/>
        <w:gridCol w:w="5810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Criterio</w:t>
            </w:r>
          </w:p>
        </w:tc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Puntos</w:t>
            </w:r>
          </w:p>
        </w:tc>
        <w:tc>
          <w:tcPr>
            <w:tcW w:type="dxa" w:w="58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Por qué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Solvencia</w:t>
            </w:r>
          </w:p>
        </w:tc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3</w:t>
            </w:r>
          </w:p>
        </w:tc>
        <w:tc>
          <w:tcPr>
            <w:tcW w:type="dxa" w:w="58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60 % fondos propios; 40 % de una línea de crédito sin desembolsar. Los pagos de enero y febrero dependen de ese desembolso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Comportamiento de pago</w:t>
            </w:r>
          </w:p>
        </w:tc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3</w:t>
            </w:r>
          </w:p>
        </w:tc>
        <w:tc>
          <w:tcPr>
            <w:tcW w:type="dxa" w:w="58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Referencias pagan completo en 39.5 días promedio; el borrador pide pago a 7 días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Madurez del diseño</w:t>
            </w:r>
          </w:p>
        </w:tc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4</w:t>
            </w:r>
          </w:p>
        </w:tc>
        <w:tc>
          <w:tcPr>
            <w:tcW w:type="dxa" w:w="58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Diseño terminado. Abiertos: drenaje, interconexión al panel del edificio y permisos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Plazo</w:t>
            </w:r>
          </w:p>
        </w:tc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3</w:t>
            </w:r>
          </w:p>
        </w:tc>
        <w:tc>
          <w:tcPr>
            <w:tcW w:type="dxa" w:w="58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90 días sin holgura: vacaciones colectivas del 24/12 al 01/01 y trabajo ruidoso solo nocturno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Capacidad del equipo</w:t>
            </w:r>
          </w:p>
        </w:tc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2</w:t>
            </w:r>
          </w:p>
        </w:tc>
        <w:tc>
          <w:tcPr>
            <w:tcW w:type="dxa" w:w="58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El residente se libera el 05/01/2026; la obra arranca el 02/12/2025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Condiciones del contrato</w:t>
            </w:r>
          </w:p>
        </w:tc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</w:t>
            </w:r>
          </w:p>
        </w:tc>
        <w:tc>
          <w:tcPr>
            <w:tcW w:type="dxa" w:w="58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Penalidad 0.15 % diario con tope 10 %; responsabilidad sin tope; sin exclusión de daños indirectos; sin prelación; RC de USD 200,000 contra USD 500,000 del edificio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Margen esperado</w:t>
            </w:r>
          </w:p>
        </w:tc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4</w:t>
            </w:r>
          </w:p>
        </w:tc>
        <w:tc>
          <w:tcPr>
            <w:tcW w:type="dxa" w:w="58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Costo directo paramétrico RD$12.2 a 15.0 millones; viable en la parte alta del rango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Relación con el cliente</w:t>
            </w:r>
          </w:p>
        </w:tc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2</w:t>
            </w:r>
          </w:p>
        </w:tc>
        <w:tc>
          <w:tcPr>
            <w:tcW w:type="dxa" w:w="58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Cliente nuevo, referido, con dos referencias comerciales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Total</w:t>
            </w:r>
          </w:p>
        </w:tc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22</w:t>
            </w:r>
          </w:p>
        </w:tc>
        <w:tc>
          <w:tcPr>
            <w:tcW w:type="dxa" w:w="58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Seguir con condiciones escritas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DECISIÓN DE LA DIRECCIÓN GENERAL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Anticipo de 30 % cobrado antes de movilizar.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Director de obra asignado desde el 02/12, con refuerzo de la Gerencia de Proyectos hasta el 05/01.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Antes de firmar: penalidad 0.1 % con tope 5 %, tope de responsabilidad, exclusión de daños indirectos, prelación y aprobación de cubicaciones en 5 días hábiles o tácita.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Drenaje, interconexión y permisos como supuestos con monto provisional.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color w:val="111111"/>
          <w:sz w:val="24"/>
          <w:szCs w:val="24"/>
        </w:rPr>
        <w:t xml:space="preserve">Margen en la parte alta del rango; póliza de RC de USD 500,000.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4F6F00"/>
          <w:sz w:val="24"/>
          <w:szCs w:val="24"/>
        </w:rPr>
        <w:t xml:space="preserve">22. Documentos de referencia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560"/>
        <w:gridCol w:w="2400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Código</w:t>
            </w:r>
          </w:p>
        </w:tc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Documento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Dónde vive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RD05-COM-MAR-001</w:t>
            </w:r>
          </w:p>
        </w:tc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Libro de marca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P-COM y P-BIB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RD05-DG-CV-003</w:t>
            </w:r>
          </w:p>
        </w:tc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CV de principales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P-COM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RD05-COM-DOS-004</w:t>
            </w:r>
          </w:p>
        </w:tc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Dossier de servicios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P-COM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RD05-COM-CAT-005</w:t>
            </w:r>
          </w:p>
        </w:tc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Catálogo de productos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P-COM y P-CYP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RD05-CYP-EST-003</w:t>
            </w:r>
          </w:p>
        </w:tc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Estándares de ofertas, v3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P-CYP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RD05-DG-MAT-001</w:t>
            </w:r>
          </w:p>
        </w:tc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Matriz de roles y accesos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P-DG y P-SGC</w:t>
            </w:r>
          </w:p>
        </w:tc>
      </w:tr>
      <w:tr>
        <w:trPr>
          <w:cantSplit/>
          <w:tblHeader w:val="off"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RD05-DG-REG-004</w:t>
            </w:r>
          </w:p>
        </w:tc>
        <w:tc>
          <w:tcPr>
            <w:tcW w:type="dxa" w:w="4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Reglas de uso de IA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P-SGC y todos los Projects</w:t>
            </w:r>
          </w:p>
        </w:tc>
      </w:tr>
    </w:tbl>
    <w:p>
      <w:pPr>
        <w:keepNext/>
        <w:pBdr>
          <w:bottom w:val="single" w:color="B5D334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Control de cambios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500"/>
        <w:gridCol w:w="4660"/>
        <w:gridCol w:w="2100"/>
      </w:tblGrid>
      <w:tr>
        <w:trPr>
          <w:cantSplit/>
          <w:tblHeader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Versión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Fecha</w:t>
            </w:r>
          </w:p>
        </w:tc>
        <w:tc>
          <w:tcPr>
            <w:tcW w:type="dxa" w:w="4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Cambio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1111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Aprobó</w:t>
            </w:r>
          </w:p>
        </w:tc>
      </w:tr>
      <w:tr>
        <w:trPr>
          <w:cantSplit/>
          <w:tblHeader w:val="off"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1.0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12/11/2025</w:t>
            </w:r>
          </w:p>
        </w:tc>
        <w:tc>
          <w:tcPr>
            <w:tcW w:type="dxa" w:w="4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Emisión inicial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Dirección General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F7F7F"/>
        <w:sz w:val="24"/>
        <w:szCs w:val="24"/>
      </w:rPr>
      <w:t xml:space="preserve">© 2026 Creado por Yermys Peña para Eleva Business Institute · Certificación AI for Construction. Prohibida su reproducción o venta.</w:t>
    </w:r>
  </w:p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Página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F7F7F"/>
        <w:sz w:val="24"/>
        <w:szCs w:val="24"/>
      </w:rPr>
      <w:t xml:space="preserve">AIC-S01-EJE-02 · RD05-DG-CER-002 · Caso de ejemplo ficticio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2026-11-04T00:08:20.678Z</dcterms:created>
  <dcterms:modified xsi:type="dcterms:W3CDTF">2026-11-04T00:08:20.683Z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